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Communiqué de presse</w:t>
      </w:r>
    </w:p>
    <w:p w:rsidR="00000000" w:rsidDel="00000000" w:rsidP="00000000" w:rsidRDefault="00000000" w:rsidRPr="00000000" w14:paraId="00000002">
      <w:pPr>
        <w:jc w:val="right"/>
        <w:rPr/>
      </w:pPr>
      <w:r w:rsidDel="00000000" w:rsidR="00000000" w:rsidRPr="00000000">
        <w:rPr>
          <w:i w:val="1"/>
          <w:iCs w:val="1"/>
          <w:rtl w:val="0"/>
        </w:rPr>
        <w:t xml:space="preserve">Paris, le 13 novembre 2025  </w:t>
      </w: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keepNext w:val="1"/>
        <w:keepLines w:val="1"/>
        <w:shd w:fill="ffffff" w:val="clear"/>
        <w:spacing w:after="300" w:lineRule="auto"/>
        <w:jc w:val="center"/>
        <w:rPr>
          <w:b w:val="1"/>
          <w:bCs w:val="1"/>
          <w:i w:val="1"/>
          <w:iCs w:val="1"/>
          <w:color w:val="108492"/>
          <w:sz w:val="24"/>
          <w:szCs w:val="24"/>
        </w:rPr>
      </w:pPr>
      <w:r w:rsidDel="00000000" w:rsidR="00000000" w:rsidRPr="00000000">
        <w:rPr>
          <w:b w:val="1"/>
          <w:bCs w:val="1"/>
          <w:color w:val="108492"/>
          <w:sz w:val="28"/>
          <w:szCs w:val="28"/>
          <w:u w:val="single"/>
          <w:rtl w:val="0"/>
        </w:rPr>
        <w:t xml:space="preserve">WORLD NUCLEAR EXHIBITION 2025</w:t>
      </w:r>
      <w:r w:rsidDel="00000000" w:rsidR="00000000" w:rsidRPr="00000000">
        <w:rPr>
          <w:b w:val="1"/>
          <w:bCs w:val="1"/>
          <w:color w:val="108492"/>
          <w:sz w:val="28"/>
          <w:szCs w:val="28"/>
          <w:rtl w:val="0"/>
        </w:rPr>
        <w:t xml:space="preserve"> </w:t>
        <w:br w:type="textWrapping"/>
        <w:t xml:space="preserve">Une édition exceptionnelle qui confirme la dynamique </w:t>
        <w:br w:type="textWrapping"/>
        <w:t xml:space="preserve">du nucléaire civil</w:t>
      </w:r>
      <w:r w:rsidDel="00000000" w:rsidR="00000000" w:rsidRPr="00000000">
        <w:rPr>
          <w:rtl w:val="0"/>
        </w:rPr>
      </w:r>
    </w:p>
    <w:p w:rsidR="00000000" w:rsidDel="00000000" w:rsidP="00000000" w:rsidRDefault="00000000" w:rsidRPr="00000000" w14:paraId="00000005">
      <w:pPr>
        <w:pBdr>
          <w:bottom w:color="000000" w:space="1" w:sz="4" w:val="single"/>
        </w:pBd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ind w:firstLine="720"/>
        <w:jc w:val="both"/>
        <w:rPr/>
      </w:pPr>
      <w:r w:rsidDel="00000000" w:rsidR="00000000" w:rsidRPr="00000000">
        <w:rPr>
          <w:rtl w:val="0"/>
        </w:rPr>
        <w:t xml:space="preserve">La 6ème édition du World Nuclear Exhibition (WNE), le plus grand salon mondial du nucléaire civil, s'est achevée le 6 novembre dernier après trois jours d’effervescence. L’événement a une nouvelle fois attiré un vaste public international, avec 25 pays mobilisés sur des pavillons nationaux, et plus de 80 nationalités représentées, réunissant les principaux acteurs de la filière mondiale du nucléaire civil au Parc des Expositions de Villepinte.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L'événement du Groupement des Industriels Français de l'Énergie Nucléaire (GIFEN), organisé par RX France, a ainsi accueilli, du 4 au 6 novembre 2025, </w:t>
      </w:r>
      <w:r w:rsidDel="00000000" w:rsidR="00000000" w:rsidRPr="00000000">
        <w:rPr>
          <w:b w:val="1"/>
          <w:bCs w:val="1"/>
          <w:rtl w:val="0"/>
        </w:rPr>
        <w:t xml:space="preserve">plus de 1 070 exposants et 36 000 participants sur les 3 jours</w:t>
      </w:r>
      <w:r w:rsidDel="00000000" w:rsidR="00000000" w:rsidRPr="00000000">
        <w:rPr>
          <w:rtl w:val="0"/>
        </w:rPr>
        <w:t xml:space="preserve">, contre 780 et 23 600 en 2023, soit une fréquentation en hausse de plus de 50 % par rapport à l’édition précédente.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color w:val="108492"/>
        </w:rPr>
      </w:pPr>
      <w:r w:rsidDel="00000000" w:rsidR="00000000" w:rsidRPr="00000000">
        <w:rPr>
          <w:i w:val="1"/>
          <w:iCs w:val="1"/>
          <w:color w:val="108492"/>
          <w:rtl w:val="0"/>
        </w:rPr>
        <w:t xml:space="preserve">« Une fois encore, WNE a tenu ses promesses : les exposants et les visiteurs ont pu effectuer en 3 jours autant, si ce n’est plus, de rencontres et de signatures de contrats qu’en 6 mois. La richesse et la diversité de nos exposants permettent de représenter l’intégralité de la filière, mais cette édition 2025 a aussi été l’occasion de valoriser les autres applications du nucléaire, avec notre nouveauté Beyond Electricity Expo, un espace immersif à l’entrée du salon. » </w:t>
      </w:r>
      <w:r w:rsidDel="00000000" w:rsidR="00000000" w:rsidRPr="00000000">
        <w:rPr>
          <w:rtl w:val="0"/>
        </w:rPr>
        <w:t xml:space="preserve">a déclaré Sylvie Bermann, Présidente de WNE.</w:t>
      </w:r>
      <w:r w:rsidDel="00000000" w:rsidR="00000000" w:rsidRPr="00000000">
        <w:rPr>
          <w:color w:val="108492"/>
          <w:rtl w:val="0"/>
        </w:rPr>
        <w:t xml:space="preserve"> </w:t>
      </w:r>
    </w:p>
    <w:p w:rsidR="00000000" w:rsidDel="00000000" w:rsidP="00000000" w:rsidRDefault="00000000" w:rsidRPr="00000000" w14:paraId="0000000D">
      <w:pPr>
        <w:jc w:val="both"/>
        <w:rPr>
          <w:color w:val="108492"/>
        </w:rPr>
      </w:pPr>
      <w:r w:rsidDel="00000000" w:rsidR="00000000" w:rsidRPr="00000000">
        <w:rPr>
          <w:rtl w:val="0"/>
        </w:rPr>
      </w:r>
    </w:p>
    <w:p w:rsidR="00000000" w:rsidDel="00000000" w:rsidP="00000000" w:rsidRDefault="00000000" w:rsidRPr="00000000" w14:paraId="0000000E">
      <w:pPr>
        <w:jc w:val="both"/>
        <w:rPr>
          <w:i w:val="1"/>
          <w:iCs w:val="1"/>
        </w:rPr>
      </w:pPr>
      <w:r w:rsidDel="00000000" w:rsidR="00000000" w:rsidRPr="00000000">
        <w:rPr>
          <w:i w:val="1"/>
          <w:iCs w:val="1"/>
          <w:color w:val="108492"/>
          <w:rtl w:val="0"/>
        </w:rPr>
        <w:t xml:space="preserve">« Je remercie toutes les personnalités qui nous ont fait l’honneur de leur présence : Roland Lescure, Ministre de l’Économie, des Finances et de la Souveraineté industrielle, énergétique et numérique, Sébastien Martin, Ministre de l’Industrie, Monique Barbut, Ministre de la Transition écologique, de la Biodiversité et des Négociations internationales sur le climat et la nature, Rafael Mariano Grossi, Directeur Général de l’AIEA, Dr Fatih Birol, Directeur Exécutif de l’AIE. Tous ont exprimé leur soutien à notre industrie en rappelant que le WNE réunit ceux qui œuvrent en faveur de la décarbonation, de l’innovation et de la croissance économique ».</w:t>
      </w:r>
      <w:r w:rsidDel="00000000" w:rsidR="00000000" w:rsidRPr="00000000">
        <w:rPr>
          <w:rtl w:val="0"/>
        </w:rPr>
      </w:r>
    </w:p>
    <w:p w:rsidR="00000000" w:rsidDel="00000000" w:rsidP="00000000" w:rsidRDefault="00000000" w:rsidRPr="00000000" w14:paraId="0000000F">
      <w:pPr>
        <w:jc w:val="both"/>
        <w:rPr>
          <w:i w:val="1"/>
          <w:iCs w:val="1"/>
        </w:rPr>
      </w:pPr>
      <w:r w:rsidDel="00000000" w:rsidR="00000000" w:rsidRPr="00000000">
        <w:rPr>
          <w:rtl w:val="0"/>
        </w:rPr>
      </w:r>
    </w:p>
    <w:p w:rsidR="00000000" w:rsidDel="00000000" w:rsidP="00000000" w:rsidRDefault="00000000" w:rsidRPr="00000000" w14:paraId="00000010">
      <w:pPr>
        <w:shd w:fill="ffffff" w:val="clear"/>
        <w:jc w:val="both"/>
        <w:rPr>
          <w:b w:val="1"/>
          <w:bCs w:val="1"/>
          <w:color w:val="108492"/>
        </w:rPr>
      </w:pPr>
      <w:r w:rsidDel="00000000" w:rsidR="00000000" w:rsidRPr="00000000">
        <w:rPr>
          <w:b w:val="1"/>
          <w:bCs w:val="1"/>
          <w:color w:val="108492"/>
          <w:rtl w:val="0"/>
        </w:rPr>
        <w:t xml:space="preserve">Une édition 2025 à la hauteur de ses ambitions </w:t>
      </w:r>
    </w:p>
    <w:p w:rsidR="00000000" w:rsidDel="00000000" w:rsidP="00000000" w:rsidRDefault="00000000" w:rsidRPr="00000000" w14:paraId="00000011">
      <w:pPr>
        <w:shd w:fill="ffffff" w:val="clear"/>
        <w:jc w:val="both"/>
        <w:rPr/>
      </w:pPr>
      <w:r w:rsidDel="00000000" w:rsidR="00000000" w:rsidRPr="00000000">
        <w:rPr>
          <w:rtl w:val="0"/>
        </w:rPr>
      </w:r>
    </w:p>
    <w:p w:rsidR="00000000" w:rsidDel="00000000" w:rsidP="00000000" w:rsidRDefault="00000000" w:rsidRPr="00000000" w14:paraId="00000012">
      <w:pPr>
        <w:shd w:fill="ffffff" w:val="clear"/>
        <w:jc w:val="both"/>
        <w:rPr/>
      </w:pPr>
      <w:r w:rsidDel="00000000" w:rsidR="00000000" w:rsidRPr="00000000">
        <w:rPr>
          <w:rtl w:val="0"/>
        </w:rPr>
        <w:t xml:space="preserve">Dans un contexte où la trajectoire de l’AIEA projette un quasi‑triplement des capacités nucléaires d’ici 2050, et au cœur d’une actualité marquée par l’urgence climatique et l’évolution des systèmes énergétiques, WNE 2025 a structuré cette édition autour de 2 grandes thématiques : </w:t>
      </w:r>
    </w:p>
    <w:p w:rsidR="00000000" w:rsidDel="00000000" w:rsidP="00000000" w:rsidRDefault="00000000" w:rsidRPr="00000000" w14:paraId="00000013">
      <w:pPr>
        <w:numPr>
          <w:ilvl w:val="0"/>
          <w:numId w:val="5"/>
        </w:numPr>
        <w:pBdr>
          <w:top w:color="d3d5d9" w:space="0" w:sz="0" w:val="none"/>
          <w:left w:color="d3d5d9" w:space="0" w:sz="0" w:val="none"/>
          <w:bottom w:color="d3d5d9" w:space="0" w:sz="0" w:val="none"/>
          <w:right w:color="d3d5d9" w:space="0" w:sz="0" w:val="none"/>
          <w:between w:color="d3d5d9" w:space="0" w:sz="0" w:val="none"/>
        </w:pBdr>
        <w:shd w:fill="ffffff" w:val="clear"/>
        <w:ind w:left="720" w:hanging="360"/>
        <w:jc w:val="both"/>
        <w:rPr>
          <w:color w:val="111418"/>
        </w:rPr>
      </w:pPr>
      <w:r w:rsidDel="00000000" w:rsidR="00000000" w:rsidRPr="00000000">
        <w:rPr>
          <w:b w:val="1"/>
          <w:bCs w:val="1"/>
          <w:i w:val="1"/>
          <w:iCs w:val="1"/>
          <w:color w:val="108492"/>
          <w:rtl w:val="0"/>
        </w:rPr>
        <w:t xml:space="preserve">Nuclear today and tomorrow</w:t>
      </w:r>
      <w:r w:rsidDel="00000000" w:rsidR="00000000" w:rsidRPr="00000000">
        <w:rPr>
          <w:rtl w:val="0"/>
        </w:rPr>
        <w:t xml:space="preserve"> : leviers d’accélération des programmes, stratégies de financement, standardisation, intelligence artificielle, fusion, nouvelles générations de réacteurs et supply chain.</w:t>
      </w:r>
      <w:r w:rsidDel="00000000" w:rsidR="00000000" w:rsidRPr="00000000">
        <w:rPr>
          <w:rtl w:val="0"/>
        </w:rPr>
      </w:r>
    </w:p>
    <w:p w:rsidR="00000000" w:rsidDel="00000000" w:rsidP="00000000" w:rsidRDefault="00000000" w:rsidRPr="00000000" w14:paraId="00000014">
      <w:pPr>
        <w:numPr>
          <w:ilvl w:val="0"/>
          <w:numId w:val="5"/>
        </w:numPr>
        <w:pBdr>
          <w:top w:color="d3d5d9" w:space="0" w:sz="0" w:val="none"/>
          <w:left w:color="d3d5d9" w:space="0" w:sz="0" w:val="none"/>
          <w:bottom w:color="d3d5d9" w:space="0" w:sz="0" w:val="none"/>
          <w:right w:color="d3d5d9" w:space="0" w:sz="0" w:val="none"/>
          <w:between w:color="d3d5d9" w:space="0" w:sz="0" w:val="none"/>
        </w:pBdr>
        <w:shd w:fill="ffffff" w:val="clear"/>
        <w:ind w:left="720" w:hanging="360"/>
        <w:jc w:val="both"/>
        <w:rPr>
          <w:color w:val="111418"/>
        </w:rPr>
      </w:pPr>
      <w:r w:rsidDel="00000000" w:rsidR="00000000" w:rsidRPr="00000000">
        <w:rPr>
          <w:b w:val="1"/>
          <w:bCs w:val="1"/>
          <w:i w:val="1"/>
          <w:iCs w:val="1"/>
          <w:color w:val="108492"/>
          <w:rtl w:val="0"/>
        </w:rPr>
        <w:t xml:space="preserve">Electricity &amp; Beyond </w:t>
      </w:r>
      <w:r w:rsidDel="00000000" w:rsidR="00000000" w:rsidRPr="00000000">
        <w:rPr>
          <w:rtl w:val="0"/>
        </w:rPr>
        <w:t xml:space="preserve">: les applications du nucléaire au-delà de l’électricité (médecine, agriculture, spatial, chaleur, hydrogène, désalinisation).</w:t>
      </w:r>
      <w:r w:rsidDel="00000000" w:rsidR="00000000" w:rsidRPr="00000000">
        <w:rPr>
          <w:rtl w:val="0"/>
        </w:rPr>
      </w:r>
    </w:p>
    <w:p w:rsidR="00000000" w:rsidDel="00000000" w:rsidP="00000000" w:rsidRDefault="00000000" w:rsidRPr="00000000" w14:paraId="00000015">
      <w:pPr>
        <w:pBdr>
          <w:top w:color="d3d5d9" w:space="0" w:sz="0" w:val="none"/>
          <w:left w:color="d3d5d9" w:space="0" w:sz="0" w:val="none"/>
          <w:bottom w:color="d3d5d9" w:space="0" w:sz="0" w:val="none"/>
          <w:right w:color="d3d5d9" w:space="0" w:sz="0" w:val="none"/>
          <w:between w:color="d3d5d9" w:space="0" w:sz="0" w:val="none"/>
        </w:pBdr>
        <w:shd w:fill="ffffff" w:val="clear"/>
        <w:jc w:val="both"/>
        <w:rPr/>
      </w:pPr>
      <w:r w:rsidDel="00000000" w:rsidR="00000000" w:rsidRPr="00000000">
        <w:rPr>
          <w:rtl w:val="0"/>
        </w:rPr>
      </w:r>
    </w:p>
    <w:p w:rsidR="00000000" w:rsidDel="00000000" w:rsidP="00000000" w:rsidRDefault="00000000" w:rsidRPr="00000000" w14:paraId="00000016">
      <w:pPr>
        <w:shd w:fill="ffffff" w:val="clear"/>
        <w:jc w:val="both"/>
        <w:rPr/>
      </w:pPr>
      <w:r w:rsidDel="00000000" w:rsidR="00000000" w:rsidRPr="00000000">
        <w:rPr>
          <w:rtl w:val="0"/>
        </w:rPr>
        <w:t xml:space="preserve">Des intervenants d’envergure internationale se sont succédé auprès de Sylvie Bermann, Ambassadrice de France et Présidente de WNE, pendant les 3 jours du salon pour porter ces thématiques et consolider la dynamique de l’industrie nucléaire civile, parmi lesquels : </w:t>
      </w:r>
    </w:p>
    <w:p w:rsidR="00000000" w:rsidDel="00000000" w:rsidP="00000000" w:rsidRDefault="00000000" w:rsidRPr="00000000" w14:paraId="00000017">
      <w:pPr>
        <w:numPr>
          <w:ilvl w:val="0"/>
          <w:numId w:val="2"/>
        </w:numPr>
        <w:shd w:fill="ffffff" w:val="clear"/>
        <w:spacing w:line="240" w:lineRule="auto"/>
        <w:ind w:left="720" w:hanging="360"/>
        <w:jc w:val="both"/>
        <w:rPr/>
      </w:pPr>
      <w:r w:rsidDel="00000000" w:rsidR="00000000" w:rsidRPr="00000000">
        <w:rPr>
          <w:rtl w:val="0"/>
        </w:rPr>
        <w:t xml:space="preserve">Roland Lescure, ministre de l’Économie, des Finances et de la Souveraineté industrielle, énergétique et numérique</w:t>
      </w:r>
    </w:p>
    <w:p w:rsidR="00000000" w:rsidDel="00000000" w:rsidP="00000000" w:rsidRDefault="00000000" w:rsidRPr="00000000" w14:paraId="00000018">
      <w:pPr>
        <w:numPr>
          <w:ilvl w:val="0"/>
          <w:numId w:val="2"/>
        </w:numPr>
        <w:shd w:fill="ffffff" w:val="clear"/>
        <w:spacing w:line="240" w:lineRule="auto"/>
        <w:ind w:left="720" w:hanging="360"/>
        <w:jc w:val="both"/>
        <w:rPr/>
      </w:pPr>
      <w:r w:rsidDel="00000000" w:rsidR="00000000" w:rsidRPr="00000000">
        <w:rPr>
          <w:rtl w:val="0"/>
        </w:rPr>
        <w:t xml:space="preserve">Monique Barbut, ministre de la Transition écologique, de la Biodiversité et des Négociations internationales sur le climat et la nature de France</w:t>
      </w:r>
    </w:p>
    <w:p w:rsidR="00000000" w:rsidDel="00000000" w:rsidP="00000000" w:rsidRDefault="00000000" w:rsidRPr="00000000" w14:paraId="00000019">
      <w:pPr>
        <w:numPr>
          <w:ilvl w:val="0"/>
          <w:numId w:val="2"/>
        </w:numPr>
        <w:shd w:fill="ffffff" w:val="clear"/>
        <w:spacing w:line="240" w:lineRule="auto"/>
        <w:ind w:left="720" w:hanging="360"/>
        <w:jc w:val="both"/>
        <w:rPr/>
      </w:pPr>
      <w:r w:rsidDel="00000000" w:rsidR="00000000" w:rsidRPr="00000000">
        <w:rPr>
          <w:rtl w:val="0"/>
        </w:rPr>
        <w:t xml:space="preserve">Sébastien Martin, ministre de l’Industrie</w:t>
      </w:r>
    </w:p>
    <w:p w:rsidR="00000000" w:rsidDel="00000000" w:rsidP="00000000" w:rsidRDefault="00000000" w:rsidRPr="00000000" w14:paraId="0000001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Stephen Lecce, ministre de l'Énergie et des Mines ; Député provincial (MPP) de King–Vaughan, Gouvernement de l'Ontario</w:t>
      </w:r>
      <w:r w:rsidDel="00000000" w:rsidR="00000000" w:rsidRPr="00000000">
        <w:rPr>
          <w:rtl w:val="0"/>
        </w:rPr>
      </w:r>
    </w:p>
    <w:p w:rsidR="00000000" w:rsidDel="00000000" w:rsidP="00000000" w:rsidRDefault="00000000" w:rsidRPr="00000000" w14:paraId="0000001B">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Péter Szijjártó, ministre des Affaires étrangères et du Commerce, Hongrie</w:t>
      </w:r>
      <w:r w:rsidDel="00000000" w:rsidR="00000000" w:rsidRPr="00000000">
        <w:rPr>
          <w:rtl w:val="0"/>
        </w:rPr>
      </w:r>
    </w:p>
    <w:p w:rsidR="00000000" w:rsidDel="00000000" w:rsidP="00000000" w:rsidRDefault="00000000" w:rsidRPr="00000000" w14:paraId="0000001C">
      <w:pPr>
        <w:numPr>
          <w:ilvl w:val="0"/>
          <w:numId w:val="2"/>
        </w:numPr>
        <w:shd w:fill="ffffff" w:val="clear"/>
        <w:ind w:left="720" w:hanging="360"/>
        <w:jc w:val="both"/>
        <w:rPr/>
      </w:pPr>
      <w:r w:rsidDel="00000000" w:rsidR="00000000" w:rsidRPr="00000000">
        <w:rPr>
          <w:rtl w:val="0"/>
        </w:rPr>
        <w:t xml:space="preserve">Dr Fatih Birol, Directeur Exécutif de l’AIE</w:t>
      </w:r>
    </w:p>
    <w:p w:rsidR="00000000" w:rsidDel="00000000" w:rsidP="00000000" w:rsidRDefault="00000000" w:rsidRPr="00000000" w14:paraId="0000001D">
      <w:pPr>
        <w:numPr>
          <w:ilvl w:val="0"/>
          <w:numId w:val="2"/>
        </w:numPr>
        <w:shd w:fill="ffffff" w:val="clear"/>
        <w:ind w:left="720" w:hanging="360"/>
        <w:jc w:val="both"/>
        <w:rPr/>
      </w:pPr>
      <w:r w:rsidDel="00000000" w:rsidR="00000000" w:rsidRPr="00000000">
        <w:rPr>
          <w:rtl w:val="0"/>
        </w:rPr>
        <w:t xml:space="preserve">Rafael Mariano Grossi, Directeur Général de l’AIEA</w:t>
      </w:r>
    </w:p>
    <w:p w:rsidR="00000000" w:rsidDel="00000000" w:rsidP="00000000" w:rsidRDefault="00000000" w:rsidRPr="00000000" w14:paraId="0000001E">
      <w:pPr>
        <w:numPr>
          <w:ilvl w:val="0"/>
          <w:numId w:val="2"/>
        </w:numPr>
        <w:shd w:fill="ffffff" w:val="clear"/>
        <w:spacing w:line="240" w:lineRule="auto"/>
        <w:ind w:left="720" w:hanging="360"/>
        <w:jc w:val="both"/>
        <w:rPr/>
      </w:pPr>
      <w:r w:rsidDel="00000000" w:rsidR="00000000" w:rsidRPr="00000000">
        <w:rPr>
          <w:rtl w:val="0"/>
        </w:rPr>
        <w:t xml:space="preserve">Dr Sama Bilbao y León, Directrice Générale de WNA</w:t>
      </w:r>
    </w:p>
    <w:p w:rsidR="00000000" w:rsidDel="00000000" w:rsidP="00000000" w:rsidRDefault="00000000" w:rsidRPr="00000000" w14:paraId="0000001F">
      <w:pPr>
        <w:numPr>
          <w:ilvl w:val="0"/>
          <w:numId w:val="2"/>
        </w:numPr>
        <w:shd w:fill="ffffff" w:val="clear"/>
        <w:spacing w:line="240" w:lineRule="auto"/>
        <w:ind w:left="720" w:hanging="360"/>
        <w:jc w:val="both"/>
        <w:rPr/>
      </w:pPr>
      <w:r w:rsidDel="00000000" w:rsidR="00000000" w:rsidRPr="00000000">
        <w:rPr>
          <w:rtl w:val="0"/>
        </w:rPr>
        <w:t xml:space="preserve">Dr Lassina Zerbo, Président du Conseil de l’Énergie Atomique du Rwanda, Conseiller en Énergie, Conseil de la Stratégie et des Politiques (Présidence de la République)</w:t>
      </w:r>
    </w:p>
    <w:p w:rsidR="00000000" w:rsidDel="00000000" w:rsidP="00000000" w:rsidRDefault="00000000" w:rsidRPr="00000000" w14:paraId="00000020">
      <w:pPr>
        <w:numPr>
          <w:ilvl w:val="0"/>
          <w:numId w:val="2"/>
        </w:numPr>
        <w:shd w:fill="ffffff" w:val="clear"/>
        <w:ind w:left="720" w:hanging="360"/>
        <w:jc w:val="both"/>
        <w:rPr/>
      </w:pPr>
      <w:r w:rsidDel="00000000" w:rsidR="00000000" w:rsidRPr="00000000">
        <w:rPr>
          <w:rtl w:val="0"/>
        </w:rPr>
        <w:t xml:space="preserve">Xavier Ursat, Président du GIFEN</w:t>
      </w:r>
    </w:p>
    <w:p w:rsidR="00000000" w:rsidDel="00000000" w:rsidP="00000000" w:rsidRDefault="00000000" w:rsidRPr="00000000" w14:paraId="00000021">
      <w:pPr>
        <w:numPr>
          <w:ilvl w:val="0"/>
          <w:numId w:val="2"/>
        </w:numPr>
        <w:spacing w:line="240" w:lineRule="auto"/>
        <w:ind w:left="720" w:hanging="360"/>
        <w:rPr/>
      </w:pPr>
      <w:r w:rsidDel="00000000" w:rsidR="00000000" w:rsidRPr="00000000">
        <w:rPr>
          <w:rtl w:val="0"/>
        </w:rPr>
        <w:t xml:space="preserve">Sharon S. Garin, Secrétaire à l'Énergie, Philippines</w:t>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tl w:val="0"/>
        </w:rPr>
        <w:t xml:space="preserve">Wojciech Wrochna, Secrétaire d’Etat, Plénipotentiaire en charge des Infrastructures énergétiques stratégiques, vice-ministre de l’Energie, Pologne</w:t>
      </w:r>
      <w:r w:rsidDel="00000000" w:rsidR="00000000" w:rsidRPr="00000000">
        <w:rPr>
          <w:rtl w:val="0"/>
        </w:rPr>
      </w:r>
    </w:p>
    <w:p w:rsidR="00000000" w:rsidDel="00000000" w:rsidP="00000000" w:rsidRDefault="00000000" w:rsidRPr="00000000" w14:paraId="00000023">
      <w:pPr>
        <w:shd w:fill="ffffff" w:val="clear"/>
        <w:jc w:val="both"/>
        <w:rPr/>
      </w:pPr>
      <w:r w:rsidDel="00000000" w:rsidR="00000000" w:rsidRPr="00000000">
        <w:rPr>
          <w:rtl w:val="0"/>
        </w:rPr>
      </w:r>
    </w:p>
    <w:p w:rsidR="00000000" w:rsidDel="00000000" w:rsidP="00000000" w:rsidRDefault="00000000" w:rsidRPr="00000000" w14:paraId="00000024">
      <w:pPr>
        <w:shd w:fill="ffffff" w:val="clear"/>
        <w:jc w:val="both"/>
        <w:rPr/>
      </w:pPr>
      <w:r w:rsidDel="00000000" w:rsidR="00000000" w:rsidRPr="00000000">
        <w:rPr>
          <w:rtl w:val="0"/>
        </w:rPr>
        <w:t xml:space="preserve">Cette intensité des échanges contribue à la consolidation d’un nucléaire sûr et performant, tout en soulignant le rôle de la France dans la maîtrise de la chaîne de valeur et la souveraineté énergétique. </w:t>
      </w:r>
    </w:p>
    <w:p w:rsidR="00000000" w:rsidDel="00000000" w:rsidP="00000000" w:rsidRDefault="00000000" w:rsidRPr="00000000" w14:paraId="00000025">
      <w:pPr>
        <w:jc w:val="both"/>
        <w:rPr>
          <w:shd w:fill="fff2cc" w:val="clear"/>
        </w:rPr>
      </w:pPr>
      <w:r w:rsidDel="00000000" w:rsidR="00000000" w:rsidRPr="00000000">
        <w:rPr>
          <w:shd w:fill="fff2cc" w:val="clear"/>
          <w:rtl w:val="0"/>
        </w:rPr>
        <w:t xml:space="preserve"> </w:t>
      </w:r>
    </w:p>
    <w:p w:rsidR="00000000" w:rsidDel="00000000" w:rsidP="00000000" w:rsidRDefault="00000000" w:rsidRPr="00000000" w14:paraId="00000026">
      <w:pPr>
        <w:jc w:val="both"/>
        <w:rPr>
          <w:b w:val="1"/>
          <w:bCs w:val="1"/>
          <w:color w:val="108492"/>
        </w:rPr>
      </w:pPr>
      <w:r w:rsidDel="00000000" w:rsidR="00000000" w:rsidRPr="00000000">
        <w:rPr>
          <w:b w:val="1"/>
          <w:bCs w:val="1"/>
          <w:color w:val="108492"/>
          <w:rtl w:val="0"/>
        </w:rPr>
        <w:t xml:space="preserve">Les nouveautés qui ont animé l’édition 2025</w:t>
      </w:r>
    </w:p>
    <w:p w:rsidR="00000000" w:rsidDel="00000000" w:rsidP="00000000" w:rsidRDefault="00000000" w:rsidRPr="00000000" w14:paraId="00000027">
      <w:pPr>
        <w:jc w:val="both"/>
        <w:rPr>
          <w:shd w:fill="fff2cc" w:val="clear"/>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La 6e édition de WNE marque un tournant décisif dans la présentation des applications du nucléaire civil avec pour la première fois un espace Beyond Electricity Expo (BEE) dédié aux applications du nucléaire civil, au-delà de la production d’électricité. </w:t>
      </w:r>
    </w:p>
    <w:p w:rsidR="00000000" w:rsidDel="00000000" w:rsidP="00000000" w:rsidRDefault="00000000" w:rsidRPr="00000000" w14:paraId="00000029">
      <w:pPr>
        <w:jc w:val="both"/>
        <w:rPr/>
      </w:pPr>
      <w:r w:rsidDel="00000000" w:rsidR="00000000" w:rsidRPr="00000000">
        <w:rPr>
          <w:rtl w:val="0"/>
        </w:rPr>
        <w:t xml:space="preserve">BEE a mis en lumière plus de 20 projets internationaux illustrant la diversité et le potentiel transformateur de ces technologies, autour de 6 domaines clés : </w:t>
      </w:r>
    </w:p>
    <w:p w:rsidR="00000000" w:rsidDel="00000000" w:rsidP="00000000" w:rsidRDefault="00000000" w:rsidRPr="00000000" w14:paraId="0000002A">
      <w:pPr>
        <w:numPr>
          <w:ilvl w:val="0"/>
          <w:numId w:val="1"/>
        </w:numPr>
        <w:shd w:fill="ffffff" w:val="clear"/>
        <w:ind w:left="720" w:hanging="360"/>
        <w:jc w:val="both"/>
        <w:rPr/>
      </w:pPr>
      <w:r w:rsidDel="00000000" w:rsidR="00000000" w:rsidRPr="00000000">
        <w:rPr>
          <w:rtl w:val="0"/>
        </w:rPr>
        <w:t xml:space="preserve">Médecine nucléaire</w:t>
      </w:r>
    </w:p>
    <w:p w:rsidR="00000000" w:rsidDel="00000000" w:rsidP="00000000" w:rsidRDefault="00000000" w:rsidRPr="00000000" w14:paraId="0000002B">
      <w:pPr>
        <w:numPr>
          <w:ilvl w:val="0"/>
          <w:numId w:val="1"/>
        </w:numPr>
        <w:shd w:fill="ffffff" w:val="clear"/>
        <w:ind w:left="720" w:hanging="360"/>
        <w:jc w:val="both"/>
        <w:rPr/>
      </w:pPr>
      <w:r w:rsidDel="00000000" w:rsidR="00000000" w:rsidRPr="00000000">
        <w:rPr>
          <w:rtl w:val="0"/>
        </w:rPr>
        <w:t xml:space="preserve">Agriculture et sécurité alimentaire</w:t>
      </w:r>
    </w:p>
    <w:p w:rsidR="00000000" w:rsidDel="00000000" w:rsidP="00000000" w:rsidRDefault="00000000" w:rsidRPr="00000000" w14:paraId="0000002C">
      <w:pPr>
        <w:numPr>
          <w:ilvl w:val="0"/>
          <w:numId w:val="1"/>
        </w:numPr>
        <w:shd w:fill="ffffff" w:val="clear"/>
        <w:ind w:left="720" w:hanging="360"/>
        <w:jc w:val="both"/>
        <w:rPr/>
      </w:pPr>
      <w:r w:rsidDel="00000000" w:rsidR="00000000" w:rsidRPr="00000000">
        <w:rPr>
          <w:rtl w:val="0"/>
        </w:rPr>
        <w:t xml:space="preserve">Exploration spatiale</w:t>
      </w:r>
    </w:p>
    <w:p w:rsidR="00000000" w:rsidDel="00000000" w:rsidP="00000000" w:rsidRDefault="00000000" w:rsidRPr="00000000" w14:paraId="0000002D">
      <w:pPr>
        <w:numPr>
          <w:ilvl w:val="0"/>
          <w:numId w:val="1"/>
        </w:numPr>
        <w:shd w:fill="ffffff" w:val="clear"/>
        <w:ind w:left="720" w:hanging="360"/>
        <w:jc w:val="both"/>
        <w:rPr/>
      </w:pPr>
      <w:r w:rsidDel="00000000" w:rsidR="00000000" w:rsidRPr="00000000">
        <w:rPr>
          <w:rtl w:val="0"/>
        </w:rPr>
        <w:t xml:space="preserve">Hydrogène décarboné</w:t>
      </w:r>
    </w:p>
    <w:p w:rsidR="00000000" w:rsidDel="00000000" w:rsidP="00000000" w:rsidRDefault="00000000" w:rsidRPr="00000000" w14:paraId="0000002E">
      <w:pPr>
        <w:numPr>
          <w:ilvl w:val="0"/>
          <w:numId w:val="1"/>
        </w:numPr>
        <w:shd w:fill="ffffff" w:val="clear"/>
        <w:ind w:left="720" w:hanging="360"/>
        <w:jc w:val="both"/>
        <w:rPr/>
      </w:pPr>
      <w:r w:rsidDel="00000000" w:rsidR="00000000" w:rsidRPr="00000000">
        <w:rPr>
          <w:rtl w:val="0"/>
        </w:rPr>
        <w:t xml:space="preserve">Chaleur urbaine et industrielle </w:t>
      </w:r>
    </w:p>
    <w:p w:rsidR="00000000" w:rsidDel="00000000" w:rsidP="00000000" w:rsidRDefault="00000000" w:rsidRPr="00000000" w14:paraId="0000002F">
      <w:pPr>
        <w:numPr>
          <w:ilvl w:val="0"/>
          <w:numId w:val="1"/>
        </w:numPr>
        <w:shd w:fill="ffffff" w:val="clear"/>
        <w:ind w:left="720" w:hanging="360"/>
        <w:jc w:val="both"/>
        <w:rPr/>
      </w:pPr>
      <w:r w:rsidDel="00000000" w:rsidR="00000000" w:rsidRPr="00000000">
        <w:rPr>
          <w:rtl w:val="0"/>
        </w:rPr>
        <w:t xml:space="preserve">Désalinisation à grande échelle. </w:t>
      </w:r>
    </w:p>
    <w:p w:rsidR="00000000" w:rsidDel="00000000" w:rsidP="00000000" w:rsidRDefault="00000000" w:rsidRPr="00000000" w14:paraId="00000030">
      <w:pPr>
        <w:shd w:fill="ffffff" w:val="clear"/>
        <w:jc w:val="both"/>
        <w:rPr/>
      </w:pPr>
      <w:r w:rsidDel="00000000" w:rsidR="00000000" w:rsidRPr="00000000">
        <w:rPr>
          <w:rtl w:val="0"/>
        </w:rPr>
      </w:r>
    </w:p>
    <w:p w:rsidR="00000000" w:rsidDel="00000000" w:rsidP="00000000" w:rsidRDefault="00000000" w:rsidRPr="00000000" w14:paraId="00000031">
      <w:pPr>
        <w:shd w:fill="ffffff" w:val="clear"/>
        <w:jc w:val="both"/>
        <w:rPr>
          <w:shd w:fill="fff2cc" w:val="clear"/>
        </w:rPr>
      </w:pPr>
      <w:r w:rsidDel="00000000" w:rsidR="00000000" w:rsidRPr="00000000">
        <w:rPr>
          <w:rtl w:val="0"/>
        </w:rPr>
        <w:t xml:space="preserve">Conçu avec le soutien scientifique du CEA et de l’AIEA, et porté par des sponsors majeurs (Calogena, Lemer Pax, NuviaTech, Orano Med, Simopt, Tractebel, Veolia), BEE a contribué à illustrer la capacité de la filière à apporter des réponses concrètes aux défis de la santé, de l’accès à l’eau et de l’industrie bas-carbone notamment.</w:t>
      </w:r>
      <w:r w:rsidDel="00000000" w:rsidR="00000000" w:rsidRPr="00000000">
        <w:rPr>
          <w:rtl w:val="0"/>
        </w:rPr>
      </w:r>
    </w:p>
    <w:p w:rsidR="00000000" w:rsidDel="00000000" w:rsidP="00000000" w:rsidRDefault="00000000" w:rsidRPr="00000000" w14:paraId="00000032">
      <w:pPr>
        <w:jc w:val="both"/>
        <w:rPr>
          <w:shd w:fill="fff2cc" w:val="clear"/>
        </w:rPr>
      </w:pPr>
      <w:r w:rsidDel="00000000" w:rsidR="00000000" w:rsidRPr="00000000">
        <w:rPr>
          <w:rtl w:val="0"/>
        </w:rPr>
      </w:r>
    </w:p>
    <w:p w:rsidR="00000000" w:rsidDel="00000000" w:rsidP="00000000" w:rsidRDefault="00000000" w:rsidRPr="00000000" w14:paraId="00000033">
      <w:pPr>
        <w:shd w:fill="ffffff" w:val="clear"/>
        <w:jc w:val="both"/>
        <w:rPr/>
      </w:pPr>
      <w:r w:rsidDel="00000000" w:rsidR="00000000" w:rsidRPr="00000000">
        <w:rPr>
          <w:rtl w:val="0"/>
        </w:rPr>
        <w:t xml:space="preserve">Parmi les nouveautés de l’édition 2025, le salon a accueilli une </w:t>
      </w:r>
      <w:r w:rsidDel="00000000" w:rsidR="00000000" w:rsidRPr="00000000">
        <w:rPr>
          <w:b w:val="1"/>
          <w:bCs w:val="1"/>
          <w:rtl w:val="0"/>
        </w:rPr>
        <w:t xml:space="preserve">Librairie éphémère</w:t>
      </w:r>
      <w:r w:rsidDel="00000000" w:rsidR="00000000" w:rsidRPr="00000000">
        <w:rPr>
          <w:rtl w:val="0"/>
        </w:rPr>
        <w:t xml:space="preserve">, conçue pour ouvrir les horizons des visiteurs, leur permettant de découvrir et d’emporter des ouvrages de référence signés par des voix influentes de la filière.</w:t>
      </w:r>
    </w:p>
    <w:p w:rsidR="00000000" w:rsidDel="00000000" w:rsidP="00000000" w:rsidRDefault="00000000" w:rsidRPr="00000000" w14:paraId="00000034">
      <w:pPr>
        <w:jc w:val="both"/>
        <w:rPr>
          <w:shd w:fill="fff2cc" w:val="clear"/>
        </w:rPr>
      </w:pPr>
      <w:r w:rsidDel="00000000" w:rsidR="00000000" w:rsidRPr="00000000">
        <w:rPr>
          <w:rtl w:val="0"/>
        </w:rPr>
      </w:r>
    </w:p>
    <w:p w:rsidR="00000000" w:rsidDel="00000000" w:rsidP="00000000" w:rsidRDefault="00000000" w:rsidRPr="00000000" w14:paraId="00000035">
      <w:pPr>
        <w:jc w:val="both"/>
        <w:rPr>
          <w:b w:val="1"/>
          <w:bCs w:val="1"/>
          <w:color w:val="108492"/>
        </w:rPr>
      </w:pPr>
      <w:r w:rsidDel="00000000" w:rsidR="00000000" w:rsidRPr="00000000">
        <w:rPr>
          <w:b w:val="1"/>
          <w:bCs w:val="1"/>
          <w:color w:val="108492"/>
          <w:rtl w:val="0"/>
        </w:rPr>
        <w:t xml:space="preserve">Une filière innovante prête à relever les défis </w:t>
      </w:r>
    </w:p>
    <w:p w:rsidR="00000000" w:rsidDel="00000000" w:rsidP="00000000" w:rsidRDefault="00000000" w:rsidRPr="00000000" w14:paraId="00000036">
      <w:pPr>
        <w:jc w:val="both"/>
        <w:rPr>
          <w:b w:val="1"/>
          <w:bCs w:val="1"/>
          <w:color w:val="108492"/>
          <w:shd w:fill="fff2cc" w:val="clear"/>
        </w:rPr>
      </w:pPr>
      <w:r w:rsidDel="00000000" w:rsidR="00000000" w:rsidRPr="00000000">
        <w:rPr>
          <w:rtl w:val="0"/>
        </w:rPr>
      </w:r>
    </w:p>
    <w:p w:rsidR="00000000" w:rsidDel="00000000" w:rsidP="00000000" w:rsidRDefault="00000000" w:rsidRPr="00000000" w14:paraId="00000037">
      <w:pPr>
        <w:shd w:fill="ffffff" w:val="clear"/>
        <w:jc w:val="both"/>
        <w:rPr/>
      </w:pPr>
      <w:r w:rsidDel="00000000" w:rsidR="00000000" w:rsidRPr="00000000">
        <w:rPr>
          <w:rtl w:val="0"/>
        </w:rPr>
        <w:t xml:space="preserve">La dynamique d’innovation et d’entrepreneuriat s’est traduite également sur le terrain avec le </w:t>
      </w:r>
      <w:r w:rsidDel="00000000" w:rsidR="00000000" w:rsidRPr="00000000">
        <w:rPr>
          <w:b w:val="1"/>
          <w:bCs w:val="1"/>
          <w:rtl w:val="0"/>
        </w:rPr>
        <w:t xml:space="preserve">WNE Startup Program et son espace associé</w:t>
      </w:r>
      <w:r w:rsidDel="00000000" w:rsidR="00000000" w:rsidRPr="00000000">
        <w:rPr>
          <w:rtl w:val="0"/>
        </w:rPr>
        <w:t xml:space="preserve">, le Startup Village, un espace dédié qui a accueilli </w:t>
      </w:r>
      <w:r w:rsidDel="00000000" w:rsidR="00000000" w:rsidRPr="00000000">
        <w:rPr>
          <w:b w:val="1"/>
          <w:bCs w:val="1"/>
          <w:rtl w:val="0"/>
        </w:rPr>
        <w:t xml:space="preserve">30 startups</w:t>
      </w:r>
      <w:r w:rsidDel="00000000" w:rsidR="00000000" w:rsidRPr="00000000">
        <w:rPr>
          <w:rtl w:val="0"/>
        </w:rPr>
        <w:t xml:space="preserve">. 20 d’entre elles (10 françaises et 10 internationales) ont été sélectionnées sur dossier par le jury du Startup Program comme étant les plus innovantes de cette édition.</w:t>
      </w:r>
    </w:p>
    <w:p w:rsidR="00000000" w:rsidDel="00000000" w:rsidP="00000000" w:rsidRDefault="00000000" w:rsidRPr="00000000" w14:paraId="00000038">
      <w:pPr>
        <w:shd w:fill="ffffff" w:val="clear"/>
        <w:jc w:val="both"/>
        <w:rPr/>
      </w:pPr>
      <w:r w:rsidDel="00000000" w:rsidR="00000000" w:rsidRPr="00000000">
        <w:rPr>
          <w:rtl w:val="0"/>
        </w:rPr>
        <w:t xml:space="preserve">Preuve de son impact, 11 startups du Startup Program 2023 étaient présentes et exposantes sur le pavillon France pour cette édition 2025. </w:t>
      </w:r>
    </w:p>
    <w:p w:rsidR="00000000" w:rsidDel="00000000" w:rsidP="00000000" w:rsidRDefault="00000000" w:rsidRPr="00000000" w14:paraId="00000039">
      <w:pPr>
        <w:jc w:val="both"/>
        <w:rPr>
          <w:shd w:fill="fff2cc" w:val="clear"/>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Cette année, les </w:t>
      </w:r>
      <w:r w:rsidDel="00000000" w:rsidR="00000000" w:rsidRPr="00000000">
        <w:rPr>
          <w:b w:val="1"/>
          <w:bCs w:val="1"/>
          <w:rtl w:val="0"/>
        </w:rPr>
        <w:t xml:space="preserve">WNE Innovation Awards</w:t>
      </w:r>
      <w:r w:rsidDel="00000000" w:rsidR="00000000" w:rsidRPr="00000000">
        <w:rPr>
          <w:rtl w:val="0"/>
        </w:rPr>
        <w:t xml:space="preserve"> ont attiré 110 candidatures du monde entier, avec une participation internationale en hausse de 40 % et une augmentation de 15 % du nombre total d'entreprises candidates. 8 lauréats ont ainsi été distingués dans les 4 catégories des Awards : </w:t>
      </w:r>
    </w:p>
    <w:p w:rsidR="00000000" w:rsidDel="00000000" w:rsidP="00000000" w:rsidRDefault="00000000" w:rsidRPr="00000000" w14:paraId="0000003B">
      <w:pPr>
        <w:shd w:fill="ffffff" w:val="clear"/>
        <w:jc w:val="both"/>
        <w:rPr>
          <w:b w:val="1"/>
          <w:bCs w:val="1"/>
        </w:rPr>
      </w:pPr>
      <w:r w:rsidDel="00000000" w:rsidR="00000000" w:rsidRPr="00000000">
        <w:rPr>
          <w:b w:val="1"/>
          <w:bCs w:val="1"/>
          <w:rtl w:val="0"/>
        </w:rPr>
        <w:t xml:space="preserve">- Améliorer les performances des installations nucléaires et leur exploitation à long terme (LTO)</w:t>
      </w:r>
    </w:p>
    <w:p w:rsidR="00000000" w:rsidDel="00000000" w:rsidP="00000000" w:rsidRDefault="00000000" w:rsidRPr="00000000" w14:paraId="0000003C">
      <w:pPr>
        <w:numPr>
          <w:ilvl w:val="0"/>
          <w:numId w:val="4"/>
        </w:numPr>
        <w:ind w:left="720" w:hanging="360"/>
        <w:jc w:val="both"/>
        <w:rPr/>
      </w:pPr>
      <w:r w:rsidDel="00000000" w:rsidR="00000000" w:rsidRPr="00000000">
        <w:rPr>
          <w:rtl w:val="0"/>
        </w:rPr>
        <w:t xml:space="preserve">Grands groupes &amp; ETI : EDF (France)</w:t>
      </w:r>
    </w:p>
    <w:p w:rsidR="00000000" w:rsidDel="00000000" w:rsidP="00000000" w:rsidRDefault="00000000" w:rsidRPr="00000000" w14:paraId="0000003D">
      <w:pPr>
        <w:numPr>
          <w:ilvl w:val="0"/>
          <w:numId w:val="4"/>
        </w:numPr>
        <w:ind w:left="720" w:hanging="360"/>
        <w:jc w:val="both"/>
        <w:rPr/>
      </w:pPr>
      <w:r w:rsidDel="00000000" w:rsidR="00000000" w:rsidRPr="00000000">
        <w:rPr>
          <w:rtl w:val="0"/>
        </w:rPr>
        <w:t xml:space="preserve">TPE/PME : CORE Energy Systems (Inde)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shd w:fill="ffffff" w:val="clear"/>
        <w:jc w:val="both"/>
        <w:rPr>
          <w:b w:val="1"/>
          <w:bCs w:val="1"/>
        </w:rPr>
      </w:pPr>
      <w:r w:rsidDel="00000000" w:rsidR="00000000" w:rsidRPr="00000000">
        <w:rPr>
          <w:b w:val="1"/>
          <w:bCs w:val="1"/>
          <w:rtl w:val="0"/>
        </w:rPr>
        <w:t xml:space="preserve">- Contribuer à des solutions plus adaptatives face aux nouveaux défis </w:t>
      </w:r>
    </w:p>
    <w:p w:rsidR="00000000" w:rsidDel="00000000" w:rsidP="00000000" w:rsidRDefault="00000000" w:rsidRPr="00000000" w14:paraId="00000040">
      <w:pPr>
        <w:numPr>
          <w:ilvl w:val="0"/>
          <w:numId w:val="3"/>
        </w:numPr>
        <w:ind w:left="720" w:hanging="360"/>
        <w:jc w:val="both"/>
        <w:rPr/>
      </w:pPr>
      <w:r w:rsidDel="00000000" w:rsidR="00000000" w:rsidRPr="00000000">
        <w:rPr>
          <w:rtl w:val="0"/>
        </w:rPr>
        <w:t xml:space="preserve">Grands groupes &amp; ETI : Westinghouse Electric (USA)</w:t>
      </w:r>
    </w:p>
    <w:p w:rsidR="00000000" w:rsidDel="00000000" w:rsidP="00000000" w:rsidRDefault="00000000" w:rsidRPr="00000000" w14:paraId="00000041">
      <w:pPr>
        <w:numPr>
          <w:ilvl w:val="0"/>
          <w:numId w:val="3"/>
        </w:numPr>
        <w:ind w:left="720" w:hanging="360"/>
        <w:jc w:val="both"/>
        <w:rPr/>
      </w:pPr>
      <w:r w:rsidDel="00000000" w:rsidR="00000000" w:rsidRPr="00000000">
        <w:rPr>
          <w:rtl w:val="0"/>
        </w:rPr>
        <w:t xml:space="preserve">TPE/PME : GraphiCore (Italie)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shd w:fill="ffffff" w:val="clear"/>
        <w:jc w:val="both"/>
        <w:rPr>
          <w:b w:val="1"/>
          <w:bCs w:val="1"/>
        </w:rPr>
      </w:pPr>
      <w:r w:rsidDel="00000000" w:rsidR="00000000" w:rsidRPr="00000000">
        <w:rPr>
          <w:b w:val="1"/>
          <w:bCs w:val="1"/>
          <w:rtl w:val="0"/>
        </w:rPr>
        <w:t xml:space="preserve">- Optimiser les coûts de construction et les délais de réalisation</w:t>
      </w:r>
    </w:p>
    <w:p w:rsidR="00000000" w:rsidDel="00000000" w:rsidP="00000000" w:rsidRDefault="00000000" w:rsidRPr="00000000" w14:paraId="00000044">
      <w:pPr>
        <w:numPr>
          <w:ilvl w:val="0"/>
          <w:numId w:val="3"/>
        </w:numPr>
        <w:ind w:left="720" w:hanging="360"/>
        <w:jc w:val="both"/>
        <w:rPr/>
      </w:pPr>
      <w:r w:rsidDel="00000000" w:rsidR="00000000" w:rsidRPr="00000000">
        <w:rPr>
          <w:rtl w:val="0"/>
        </w:rPr>
        <w:t xml:space="preserve">Grands groupes &amp; ETI : AIC (Pologne)</w:t>
      </w:r>
    </w:p>
    <w:p w:rsidR="00000000" w:rsidDel="00000000" w:rsidP="00000000" w:rsidRDefault="00000000" w:rsidRPr="00000000" w14:paraId="00000045">
      <w:pPr>
        <w:numPr>
          <w:ilvl w:val="0"/>
          <w:numId w:val="4"/>
        </w:numPr>
        <w:ind w:left="720" w:hanging="360"/>
        <w:jc w:val="both"/>
        <w:rPr/>
      </w:pPr>
      <w:r w:rsidDel="00000000" w:rsidR="00000000" w:rsidRPr="00000000">
        <w:rPr>
          <w:rtl w:val="0"/>
        </w:rPr>
        <w:t xml:space="preserve">TPE/PME : Spaciotempo (France)</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b w:val="1"/>
          <w:bCs w:val="1"/>
          <w:rtl w:val="0"/>
        </w:rPr>
        <w:t xml:space="preserve">- Innover au-delà de l'électricité (médecine, agriculture, propulsion, chaleur, hydrogène, désalinisation)</w:t>
      </w:r>
    </w:p>
    <w:p w:rsidR="00000000" w:rsidDel="00000000" w:rsidP="00000000" w:rsidRDefault="00000000" w:rsidRPr="00000000" w14:paraId="00000048">
      <w:pPr>
        <w:numPr>
          <w:ilvl w:val="0"/>
          <w:numId w:val="4"/>
        </w:numPr>
        <w:ind w:left="720" w:hanging="360"/>
        <w:jc w:val="both"/>
        <w:rPr/>
      </w:pPr>
      <w:r w:rsidDel="00000000" w:rsidR="00000000" w:rsidRPr="00000000">
        <w:rPr>
          <w:rtl w:val="0"/>
        </w:rPr>
        <w:t xml:space="preserve">Grands groupes &amp; ETI : Framatome (France)</w:t>
      </w:r>
    </w:p>
    <w:p w:rsidR="00000000" w:rsidDel="00000000" w:rsidP="00000000" w:rsidRDefault="00000000" w:rsidRPr="00000000" w14:paraId="00000049">
      <w:pPr>
        <w:numPr>
          <w:ilvl w:val="0"/>
          <w:numId w:val="4"/>
        </w:numPr>
        <w:ind w:left="720" w:hanging="360"/>
        <w:jc w:val="both"/>
        <w:rPr/>
      </w:pPr>
      <w:r w:rsidDel="00000000" w:rsidR="00000000" w:rsidRPr="00000000">
        <w:rPr>
          <w:rtl w:val="0"/>
        </w:rPr>
        <w:t xml:space="preserve">TPE/PME : Calogena (France)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shd w:fill="ffffff" w:val="clear"/>
        <w:jc w:val="both"/>
        <w:rPr/>
      </w:pPr>
      <w:r w:rsidDel="00000000" w:rsidR="00000000" w:rsidRPr="00000000">
        <w:rPr>
          <w:b w:val="1"/>
          <w:bCs w:val="1"/>
          <w:rtl w:val="0"/>
        </w:rPr>
        <w:t xml:space="preserve">L’Espace Job &amp; Training</w:t>
      </w:r>
      <w:r w:rsidDel="00000000" w:rsidR="00000000" w:rsidRPr="00000000">
        <w:rPr>
          <w:rtl w:val="0"/>
        </w:rPr>
        <w:t xml:space="preserve"> a accueilli plus de 1 250 étudiants et demandeurs d’emploi sur les 3 jours de salon pour découvrir les besoins et les enjeux de la filière, avec des témoignages, des parcours métiers et des rencontres dédiées. L’objectif : accompagner la montée en puissance d’un secteur qui prévoit 100 000 nouveaux emplois en France en dix ans et intégrer les nouvelles compétences liées aux SMR/AMR, à l’IA, au numérique et aux nouvelles applications.</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t xml:space="preserve">Pour revivre les temps forts du salon, et accéder aux replays des conférences et table-rondes rendez-vous en ligne : </w:t>
      </w:r>
    </w:p>
    <w:p w:rsidR="00000000" w:rsidDel="00000000" w:rsidP="00000000" w:rsidRDefault="00000000" w:rsidRPr="00000000" w14:paraId="0000004F">
      <w:pPr>
        <w:jc w:val="center"/>
        <w:rPr>
          <w:color w:val="0000ff"/>
          <w:u w:val="single"/>
        </w:rPr>
      </w:pPr>
      <w:hyperlink r:id="rId7">
        <w:r w:rsidDel="00000000" w:rsidR="00000000" w:rsidRPr="00000000">
          <w:rPr>
            <w:color w:val="0000ff"/>
            <w:u w:val="single"/>
            <w:rtl w:val="0"/>
          </w:rPr>
          <w:t xml:space="preserve">www.world-nuclear-exhibition.com</w:t>
        </w:r>
      </w:hyperlink>
      <w:r w:rsidDel="00000000" w:rsidR="00000000" w:rsidRPr="00000000">
        <w:rPr>
          <w:rtl w:val="0"/>
        </w:rPr>
      </w:r>
    </w:p>
    <w:p w:rsidR="00000000" w:rsidDel="00000000" w:rsidP="00000000" w:rsidRDefault="00000000" w:rsidRPr="00000000" w14:paraId="00000050">
      <w:pPr>
        <w:jc w:val="center"/>
        <w:rPr>
          <w:color w:val="0000ff"/>
          <w:u w:val="single"/>
        </w:rPr>
      </w:pPr>
      <w:r w:rsidDel="00000000" w:rsidR="00000000" w:rsidRPr="00000000">
        <w:rPr>
          <w:rtl w:val="0"/>
        </w:rPr>
      </w:r>
    </w:p>
    <w:p w:rsidR="00000000" w:rsidDel="00000000" w:rsidP="00000000" w:rsidRDefault="00000000" w:rsidRPr="00000000" w14:paraId="00000051">
      <w:pPr>
        <w:jc w:val="center"/>
        <w:rPr>
          <w:b w:val="1"/>
          <w:bCs w:val="1"/>
        </w:rPr>
      </w:pPr>
      <w:r w:rsidDel="00000000" w:rsidR="00000000" w:rsidRPr="00000000">
        <w:rPr>
          <w:b w:val="1"/>
          <w:bCs w:val="1"/>
          <w:rtl w:val="0"/>
        </w:rPr>
        <w:t xml:space="preserve">Rendez-vous pour la prochaine édition de WNE, </w:t>
      </w:r>
    </w:p>
    <w:p w:rsidR="00000000" w:rsidDel="00000000" w:rsidP="00000000" w:rsidRDefault="00000000" w:rsidRPr="00000000" w14:paraId="00000052">
      <w:pPr>
        <w:jc w:val="center"/>
        <w:rPr>
          <w:b w:val="1"/>
          <w:bCs w:val="1"/>
        </w:rPr>
      </w:pPr>
      <w:r w:rsidDel="00000000" w:rsidR="00000000" w:rsidRPr="00000000">
        <w:rPr>
          <w:b w:val="1"/>
          <w:bCs w:val="1"/>
          <w:rtl w:val="0"/>
        </w:rPr>
        <w:t xml:space="preserve">du 7 au 9 décembre 2027 à Paris.</w:t>
      </w:r>
    </w:p>
    <w:p w:rsidR="00000000" w:rsidDel="00000000" w:rsidP="00000000" w:rsidRDefault="00000000" w:rsidRPr="00000000" w14:paraId="00000053">
      <w:pPr>
        <w:jc w:val="center"/>
        <w:rPr>
          <w:color w:val="4a86e8"/>
          <w:u w:val="single"/>
        </w:rPr>
      </w:pPr>
      <w:r w:rsidDel="00000000" w:rsidR="00000000" w:rsidRPr="00000000">
        <w:rPr>
          <w:rtl w:val="0"/>
        </w:rPr>
      </w:r>
    </w:p>
    <w:p w:rsidR="00000000" w:rsidDel="00000000" w:rsidP="00000000" w:rsidRDefault="00000000" w:rsidRPr="00000000" w14:paraId="00000054">
      <w:pPr>
        <w:jc w:val="center"/>
        <w:rPr>
          <w:b w:val="1"/>
          <w:bCs w:val="1"/>
        </w:rPr>
      </w:pPr>
      <w:hyperlink r:id="rId8">
        <w:r w:rsidDel="00000000" w:rsidR="00000000" w:rsidRPr="00000000">
          <w:rPr>
            <w:b w:val="1"/>
            <w:bCs w:val="1"/>
            <w:color w:val="1155cc"/>
            <w:u w:val="single"/>
          </w:rPr>
          <w:drawing>
            <wp:inline distB="114300" distT="114300" distL="114300" distR="114300">
              <wp:extent cx="411000" cy="390525"/>
              <wp:effectExtent b="0" l="0" r="0" t="0"/>
              <wp:docPr id="38" name="image2.png"/>
              <a:graphic>
                <a:graphicData uri="http://schemas.openxmlformats.org/drawingml/2006/picture">
                  <pic:pic>
                    <pic:nvPicPr>
                      <pic:cNvPr id="0" name="image2.png"/>
                      <pic:cNvPicPr preferRelativeResize="0"/>
                    </pic:nvPicPr>
                    <pic:blipFill>
                      <a:blip r:embed="rId9"/>
                      <a:srcRect b="0" l="0" r="79053" t="0"/>
                      <a:stretch>
                        <a:fillRect/>
                      </a:stretch>
                    </pic:blipFill>
                    <pic:spPr>
                      <a:xfrm>
                        <a:off x="0" y="0"/>
                        <a:ext cx="411000" cy="390525"/>
                      </a:xfrm>
                      <a:prstGeom prst="rect"/>
                      <a:ln/>
                    </pic:spPr>
                  </pic:pic>
                </a:graphicData>
              </a:graphic>
            </wp:inline>
          </w:drawing>
        </w:r>
      </w:hyperlink>
      <w:hyperlink r:id="rId10">
        <w:r w:rsidDel="00000000" w:rsidR="00000000" w:rsidRPr="00000000">
          <w:rPr>
            <w:b w:val="1"/>
            <w:bCs w:val="1"/>
            <w:color w:val="1155cc"/>
            <w:u w:val="single"/>
          </w:rPr>
          <w:drawing>
            <wp:inline distB="114300" distT="114300" distL="114300" distR="114300">
              <wp:extent cx="408150" cy="390525"/>
              <wp:effectExtent b="0" l="0" r="0" t="0"/>
              <wp:docPr id="40" name="image2.png"/>
              <a:graphic>
                <a:graphicData uri="http://schemas.openxmlformats.org/drawingml/2006/picture">
                  <pic:pic>
                    <pic:nvPicPr>
                      <pic:cNvPr id="0" name="image2.png"/>
                      <pic:cNvPicPr preferRelativeResize="0"/>
                    </pic:nvPicPr>
                    <pic:blipFill>
                      <a:blip r:embed="rId9"/>
                      <a:srcRect b="0" l="19406" r="59877" t="0"/>
                      <a:stretch>
                        <a:fillRect/>
                      </a:stretch>
                    </pic:blipFill>
                    <pic:spPr>
                      <a:xfrm>
                        <a:off x="0" y="0"/>
                        <a:ext cx="408150" cy="390525"/>
                      </a:xfrm>
                      <a:prstGeom prst="rect"/>
                      <a:ln/>
                    </pic:spPr>
                  </pic:pic>
                </a:graphicData>
              </a:graphic>
            </wp:inline>
          </w:drawing>
        </w:r>
      </w:hyperlink>
      <w:hyperlink r:id="rId11">
        <w:r w:rsidDel="00000000" w:rsidR="00000000" w:rsidRPr="00000000">
          <w:rPr>
            <w:b w:val="1"/>
            <w:bCs w:val="1"/>
            <w:color w:val="1155cc"/>
            <w:u w:val="single"/>
          </w:rPr>
          <w:drawing>
            <wp:inline distB="114300" distT="114300" distL="114300" distR="114300">
              <wp:extent cx="468150" cy="390525"/>
              <wp:effectExtent b="0" l="0" r="0" t="0"/>
              <wp:docPr id="39" name="image2.png"/>
              <a:graphic>
                <a:graphicData uri="http://schemas.openxmlformats.org/drawingml/2006/picture">
                  <pic:pic>
                    <pic:nvPicPr>
                      <pic:cNvPr id="0" name="image2.png"/>
                      <pic:cNvPicPr preferRelativeResize="0"/>
                    </pic:nvPicPr>
                    <pic:blipFill>
                      <a:blip r:embed="rId9"/>
                      <a:srcRect b="0" l="38905" r="37261" t="0"/>
                      <a:stretch>
                        <a:fillRect/>
                      </a:stretch>
                    </pic:blipFill>
                    <pic:spPr>
                      <a:xfrm>
                        <a:off x="0" y="0"/>
                        <a:ext cx="468150" cy="3905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jc w:val="center"/>
        <w:rPr>
          <w:b w:val="1"/>
          <w:bCs w:val="1"/>
        </w:rPr>
      </w:pPr>
      <w:r w:rsidDel="00000000" w:rsidR="00000000" w:rsidRPr="00000000">
        <w:rPr>
          <w:b w:val="1"/>
          <w:bCs w:val="1"/>
          <w:rtl w:val="0"/>
        </w:rPr>
        <w:t xml:space="preserve">Contacts presse WNE : Agence Proches</w:t>
      </w:r>
    </w:p>
    <w:p w:rsidR="00000000" w:rsidDel="00000000" w:rsidP="00000000" w:rsidRDefault="00000000" w:rsidRPr="00000000" w14:paraId="00000057">
      <w:pPr>
        <w:jc w:val="center"/>
        <w:rPr>
          <w:sz w:val="24"/>
          <w:szCs w:val="24"/>
        </w:rPr>
      </w:pPr>
      <w:r w:rsidDel="00000000" w:rsidR="00000000" w:rsidRPr="00000000">
        <w:rPr>
          <w:rtl w:val="0"/>
        </w:rPr>
        <w:t xml:space="preserve">Mélanie Farge - +33 </w:t>
      </w:r>
      <w:r w:rsidDel="00000000" w:rsidR="00000000" w:rsidRPr="00000000">
        <w:rPr>
          <w:highlight w:val="white"/>
          <w:rtl w:val="0"/>
        </w:rPr>
        <w:t xml:space="preserve">7 63 13 42 10</w:t>
      </w:r>
      <w:r w:rsidDel="00000000" w:rsidR="00000000" w:rsidRPr="00000000">
        <w:rPr>
          <w:rtl w:val="0"/>
        </w:rPr>
        <w:t xml:space="preserve"> / Olga Tess - +33 </w:t>
      </w:r>
      <w:r w:rsidDel="00000000" w:rsidR="00000000" w:rsidRPr="00000000">
        <w:rPr>
          <w:highlight w:val="white"/>
          <w:rtl w:val="0"/>
        </w:rPr>
        <w:t xml:space="preserve">6 73 46 90 76</w:t>
      </w:r>
      <w:r w:rsidDel="00000000" w:rsidR="00000000" w:rsidRPr="00000000">
        <w:rPr>
          <w:rtl w:val="0"/>
        </w:rPr>
      </w:r>
    </w:p>
    <w:p w:rsidR="00000000" w:rsidDel="00000000" w:rsidP="00000000" w:rsidRDefault="00000000" w:rsidRPr="00000000" w14:paraId="00000058">
      <w:pPr>
        <w:jc w:val="center"/>
        <w:rPr>
          <w:color w:val="222222"/>
          <w:highlight w:val="white"/>
        </w:rPr>
      </w:pPr>
      <w:hyperlink r:id="rId12">
        <w:r w:rsidDel="00000000" w:rsidR="00000000" w:rsidRPr="00000000">
          <w:rPr>
            <w:color w:val="1155cc"/>
            <w:highlight w:val="white"/>
            <w:u w:val="single"/>
            <w:rtl w:val="0"/>
          </w:rPr>
          <w:t xml:space="preserve">teamwne@agenceproches.com</w:t>
        </w:r>
      </w:hyperlink>
      <w:r w:rsidDel="00000000" w:rsidR="00000000" w:rsidRPr="00000000">
        <w:rPr>
          <w:rtl w:val="0"/>
        </w:rPr>
      </w:r>
    </w:p>
    <w:p w:rsidR="00000000" w:rsidDel="00000000" w:rsidP="00000000" w:rsidRDefault="00000000" w:rsidRPr="00000000" w14:paraId="00000059">
      <w:pPr>
        <w:jc w:val="center"/>
        <w:rPr>
          <w:color w:val="222222"/>
          <w:highlight w:val="white"/>
        </w:rPr>
      </w:pPr>
      <w:r w:rsidDel="00000000" w:rsidR="00000000" w:rsidRPr="00000000">
        <w:rPr>
          <w:rtl w:val="0"/>
        </w:rPr>
      </w:r>
    </w:p>
    <w:p w:rsidR="00000000" w:rsidDel="00000000" w:rsidP="00000000" w:rsidRDefault="00000000" w:rsidRPr="00000000" w14:paraId="0000005A">
      <w:pPr>
        <w:shd w:fill="ffffff" w:val="clear"/>
        <w:jc w:val="both"/>
        <w:rPr/>
      </w:pPr>
      <w:r w:rsidDel="00000000" w:rsidR="00000000" w:rsidRPr="00000000">
        <w:rPr>
          <w:b w:val="1"/>
          <w:bCs w:val="1"/>
          <w:sz w:val="20"/>
          <w:szCs w:val="20"/>
          <w:rtl w:val="0"/>
        </w:rPr>
        <w:t xml:space="preserve">A propos du</w:t>
      </w:r>
      <w:r w:rsidDel="00000000" w:rsidR="00000000" w:rsidRPr="00000000">
        <w:rPr>
          <w:b w:val="1"/>
          <w:bCs w:val="1"/>
          <w:rtl w:val="0"/>
        </w:rPr>
        <w:t xml:space="preserve"> GIFEN</w:t>
      </w:r>
      <w:r w:rsidDel="00000000" w:rsidR="00000000" w:rsidRPr="00000000">
        <w:rPr>
          <w:rtl w:val="0"/>
        </w:rPr>
        <w:t xml:space="preserve"> - www.gifen.fr</w:t>
      </w:r>
    </w:p>
    <w:p w:rsidR="00000000" w:rsidDel="00000000" w:rsidP="00000000" w:rsidRDefault="00000000" w:rsidRPr="00000000" w14:paraId="0000005B">
      <w:pPr>
        <w:shd w:fill="ffffff" w:val="clear"/>
        <w:jc w:val="both"/>
        <w:rPr>
          <w:sz w:val="20"/>
          <w:szCs w:val="20"/>
        </w:rPr>
      </w:pPr>
      <w:r w:rsidDel="00000000" w:rsidR="00000000" w:rsidRPr="00000000">
        <w:rPr>
          <w:sz w:val="20"/>
          <w:szCs w:val="20"/>
          <w:rtl w:val="0"/>
        </w:rPr>
        <w:t xml:space="preserve">Le Groupement des Industriels Français de l’Energie Nucléaire (GIFEN) est l’unique syndicat professionnel de la filière nucléaire qui regroupe les grands donneurs d’ordre, les grandes entreprises, les ETI, PME, TPE et associations qui couvrent tous les types d’activités industrielles et tous les domaines du nucléaire civil.</w:t>
      </w:r>
    </w:p>
    <w:p w:rsidR="00000000" w:rsidDel="00000000" w:rsidP="00000000" w:rsidRDefault="00000000" w:rsidRPr="00000000" w14:paraId="0000005C">
      <w:pPr>
        <w:shd w:fill="ffffff" w:val="clear"/>
        <w:jc w:val="both"/>
        <w:rPr>
          <w:sz w:val="20"/>
          <w:szCs w:val="20"/>
        </w:rPr>
      </w:pPr>
      <w:r w:rsidDel="00000000" w:rsidR="00000000" w:rsidRPr="00000000">
        <w:rPr>
          <w:sz w:val="20"/>
          <w:szCs w:val="20"/>
          <w:rtl w:val="0"/>
        </w:rPr>
        <w:t xml:space="preserve">Avec plus de 600 adhérents, le GIFEN a pour objectif de construire, avec ses partenaires, l’industrie nucléaire française de demain. Il a également pour ambition de favoriser et de développer les relations internationales entre les acteurs mondiaux du nucléaire civil. </w:t>
      </w:r>
    </w:p>
    <w:p w:rsidR="00000000" w:rsidDel="00000000" w:rsidP="00000000" w:rsidRDefault="00000000" w:rsidRPr="00000000" w14:paraId="0000005D">
      <w:pPr>
        <w:shd w:fill="ffffff" w:val="clear"/>
        <w:jc w:val="both"/>
        <w:rPr>
          <w:sz w:val="20"/>
          <w:szCs w:val="20"/>
        </w:rPr>
      </w:pPr>
      <w:r w:rsidDel="00000000" w:rsidR="00000000" w:rsidRPr="00000000">
        <w:rPr>
          <w:sz w:val="20"/>
          <w:szCs w:val="20"/>
          <w:rtl w:val="0"/>
        </w:rPr>
        <w:t xml:space="preserve">Le salon WNE (World Nuclear Exhibition) est l’un des outils de cette stratégie de développement</w:t>
      </w:r>
    </w:p>
    <w:p w:rsidR="00000000" w:rsidDel="00000000" w:rsidP="00000000" w:rsidRDefault="00000000" w:rsidRPr="00000000" w14:paraId="0000005E">
      <w:pPr>
        <w:shd w:fill="ffffff" w:val="clear"/>
        <w:jc w:val="both"/>
        <w:rPr>
          <w:sz w:val="20"/>
          <w:szCs w:val="20"/>
        </w:rPr>
      </w:pPr>
      <w:r w:rsidDel="00000000" w:rsidR="00000000" w:rsidRPr="00000000">
        <w:rPr>
          <w:rtl w:val="0"/>
        </w:rPr>
      </w:r>
    </w:p>
    <w:p w:rsidR="00000000" w:rsidDel="00000000" w:rsidP="00000000" w:rsidRDefault="00000000" w:rsidRPr="00000000" w14:paraId="0000005F">
      <w:pPr>
        <w:shd w:fill="ffffff" w:val="clear"/>
        <w:jc w:val="both"/>
        <w:rPr>
          <w:b w:val="1"/>
          <w:bCs w:val="1"/>
          <w:sz w:val="20"/>
          <w:szCs w:val="20"/>
        </w:rPr>
      </w:pPr>
      <w:r w:rsidDel="00000000" w:rsidR="00000000" w:rsidRPr="00000000">
        <w:rPr>
          <w:b w:val="1"/>
          <w:bCs w:val="1"/>
          <w:sz w:val="20"/>
          <w:szCs w:val="20"/>
          <w:rtl w:val="0"/>
        </w:rPr>
        <w:t xml:space="preserve">A propos de RX </w:t>
      </w:r>
      <w:r w:rsidDel="00000000" w:rsidR="00000000" w:rsidRPr="00000000">
        <w:rPr>
          <w:sz w:val="20"/>
          <w:szCs w:val="20"/>
          <w:rtl w:val="0"/>
        </w:rPr>
        <w:t xml:space="preserve">- www.rxglobal.fr</w:t>
      </w:r>
      <w:r w:rsidDel="00000000" w:rsidR="00000000" w:rsidRPr="00000000">
        <w:rPr>
          <w:rtl w:val="0"/>
        </w:rPr>
      </w:r>
    </w:p>
    <w:p w:rsidR="00000000" w:rsidDel="00000000" w:rsidP="00000000" w:rsidRDefault="00000000" w:rsidRPr="00000000" w14:paraId="00000060">
      <w:pPr>
        <w:shd w:fill="ffffff" w:val="clear"/>
        <w:jc w:val="both"/>
        <w:rPr>
          <w:sz w:val="20"/>
          <w:szCs w:val="20"/>
        </w:rPr>
      </w:pPr>
      <w:r w:rsidDel="00000000" w:rsidR="00000000" w:rsidRPr="00000000">
        <w:rPr>
          <w:sz w:val="20"/>
          <w:szCs w:val="20"/>
          <w:rtl w:val="0"/>
        </w:rPr>
        <w:t xml:space="preserve">RX est au service du développement des entreprises, des collectivités et des individus. Nous associons à la force des événements en face à face, les données et les produits digitaux qui permettent d’aider nos clients à comprendre les marchés, à rechercher des produits et à effectuer des transactions avec plus de 400 événements présents dans 22 pays et 43 secteurs d’activité.</w:t>
      </w:r>
    </w:p>
    <w:p w:rsidR="00000000" w:rsidDel="00000000" w:rsidP="00000000" w:rsidRDefault="00000000" w:rsidRPr="00000000" w14:paraId="00000061">
      <w:pPr>
        <w:shd w:fill="ffffff" w:val="clear"/>
        <w:jc w:val="both"/>
        <w:rPr>
          <w:sz w:val="20"/>
          <w:szCs w:val="20"/>
        </w:rPr>
      </w:pPr>
      <w:r w:rsidDel="00000000" w:rsidR="00000000" w:rsidRPr="00000000">
        <w:rPr>
          <w:sz w:val="20"/>
          <w:szCs w:val="20"/>
          <w:rtl w:val="0"/>
        </w:rPr>
        <w:t xml:space="preserve">RX France organise des événements en face-à-face, digitaux ou hybrides, leaders sur une quinzaine de marchés différents. Parmi les salons emblématiques de RX France et incontournables sur le plan national et international, figurent MIPIM, MAPIC, Batimat, Pollutec, EquipHotel, SITL, IFTM Top Resa, </w:t>
      </w:r>
    </w:p>
    <w:p w:rsidR="00000000" w:rsidDel="00000000" w:rsidP="00000000" w:rsidRDefault="00000000" w:rsidRPr="00000000" w14:paraId="00000062">
      <w:pPr>
        <w:shd w:fill="ffffff" w:val="clear"/>
        <w:jc w:val="both"/>
        <w:rPr>
          <w:sz w:val="20"/>
          <w:szCs w:val="20"/>
        </w:rPr>
      </w:pPr>
      <w:r w:rsidDel="00000000" w:rsidR="00000000" w:rsidRPr="00000000">
        <w:rPr>
          <w:sz w:val="20"/>
          <w:szCs w:val="20"/>
          <w:rtl w:val="0"/>
        </w:rPr>
        <w:t xml:space="preserve">MIPCOM, MIPTV, Paris Photo, Maison&amp;Objet* et bien d’autres… Nos événements se déroulent en </w:t>
      </w:r>
    </w:p>
    <w:p w:rsidR="00000000" w:rsidDel="00000000" w:rsidP="00000000" w:rsidRDefault="00000000" w:rsidRPr="00000000" w14:paraId="00000063">
      <w:pPr>
        <w:shd w:fill="ffffff" w:val="clear"/>
        <w:jc w:val="both"/>
        <w:rPr>
          <w:sz w:val="20"/>
          <w:szCs w:val="20"/>
        </w:rPr>
      </w:pPr>
      <w:r w:rsidDel="00000000" w:rsidR="00000000" w:rsidRPr="00000000">
        <w:rPr>
          <w:sz w:val="20"/>
          <w:szCs w:val="20"/>
          <w:rtl w:val="0"/>
        </w:rPr>
        <w:t xml:space="preserve">France, en Chine, en Italie, au Mexique et aux États-Unis. </w:t>
      </w:r>
    </w:p>
    <w:p w:rsidR="00000000" w:rsidDel="00000000" w:rsidP="00000000" w:rsidRDefault="00000000" w:rsidRPr="00000000" w14:paraId="00000064">
      <w:pPr>
        <w:shd w:fill="ffffff" w:val="clear"/>
        <w:jc w:val="both"/>
        <w:rPr>
          <w:sz w:val="20"/>
          <w:szCs w:val="20"/>
        </w:rPr>
      </w:pPr>
      <w:r w:rsidDel="00000000" w:rsidR="00000000" w:rsidRPr="00000000">
        <w:rPr>
          <w:sz w:val="20"/>
          <w:szCs w:val="20"/>
          <w:rtl w:val="0"/>
        </w:rPr>
        <w:t xml:space="preserve">La volonté de RX est d'avoir un impact positif sur la société et de créer un environnement de travail inclusif pour tous nos collaborateurs.</w:t>
      </w:r>
    </w:p>
    <w:p w:rsidR="00000000" w:rsidDel="00000000" w:rsidP="00000000" w:rsidRDefault="00000000" w:rsidRPr="00000000" w14:paraId="00000065">
      <w:pPr>
        <w:shd w:fill="ffffff" w:val="clear"/>
        <w:jc w:val="both"/>
        <w:rPr>
          <w:b w:val="1"/>
          <w:bCs w:val="1"/>
          <w:sz w:val="20"/>
          <w:szCs w:val="20"/>
        </w:rPr>
      </w:pPr>
      <w:r w:rsidDel="00000000" w:rsidR="00000000" w:rsidRPr="00000000">
        <w:rPr>
          <w:sz w:val="20"/>
          <w:szCs w:val="20"/>
          <w:rtl w:val="0"/>
        </w:rPr>
        <w:t xml:space="preserve">RX fait partie de RELX, leader mondial d'outils d'analyse et de décision basés sur l'information et les données pour des clients professionnels.  </w:t>
      </w:r>
      <w:r w:rsidDel="00000000" w:rsidR="00000000" w:rsidRPr="00000000">
        <w:rPr>
          <w:rtl w:val="0"/>
        </w:rPr>
      </w:r>
    </w:p>
    <w:p w:rsidR="00000000" w:rsidDel="00000000" w:rsidP="00000000" w:rsidRDefault="00000000" w:rsidRPr="00000000" w14:paraId="00000066">
      <w:pPr>
        <w:shd w:fill="ffffff" w:val="clear"/>
        <w:jc w:val="both"/>
        <w:rPr>
          <w:b w:val="1"/>
          <w:bCs w:val="1"/>
          <w:sz w:val="20"/>
          <w:szCs w:val="2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keepLines w:val="1"/>
        <w:rPr>
          <w:b w:val="1"/>
          <w:bCs w:val="1"/>
        </w:rPr>
      </w:pPr>
      <w:r w:rsidDel="00000000" w:rsidR="00000000" w:rsidRPr="00000000">
        <w:rPr>
          <w:rtl w:val="0"/>
        </w:rPr>
        <w:t xml:space="preserve">Un événement </w:t>
        <w:tab/>
        <w:tab/>
        <w:tab/>
        <w:tab/>
        <w:tab/>
        <w:tab/>
        <w:tab/>
        <w:t xml:space="preserve">Organisé par</w:t>
      </w:r>
      <w:r w:rsidDel="00000000" w:rsidR="00000000" w:rsidRPr="00000000">
        <w:rPr>
          <w:b w:val="1"/>
          <w:bCs w:val="1"/>
        </w:rPr>
        <w:drawing>
          <wp:inline distB="114300" distT="114300" distL="114300" distR="114300">
            <wp:extent cx="895350" cy="486184"/>
            <wp:effectExtent b="0" l="0" r="0" t="0"/>
            <wp:docPr id="42" name="image3.png"/>
            <a:graphic>
              <a:graphicData uri="http://schemas.openxmlformats.org/drawingml/2006/picture">
                <pic:pic>
                  <pic:nvPicPr>
                    <pic:cNvPr id="0" name="image3.png"/>
                    <pic:cNvPicPr preferRelativeResize="0"/>
                  </pic:nvPicPr>
                  <pic:blipFill>
                    <a:blip r:embed="rId13"/>
                    <a:srcRect b="-24581" l="0" r="0" t="0"/>
                    <a:stretch>
                      <a:fillRect/>
                    </a:stretch>
                  </pic:blipFill>
                  <pic:spPr>
                    <a:xfrm>
                      <a:off x="0" y="0"/>
                      <a:ext cx="895350" cy="486184"/>
                    </a:xfrm>
                    <a:prstGeom prst="rect"/>
                    <a:ln/>
                  </pic:spPr>
                </pic:pic>
              </a:graphicData>
            </a:graphic>
          </wp:inline>
        </w:drawing>
      </w:r>
      <w:r w:rsidDel="00000000" w:rsidR="00000000" w:rsidRPr="00000000">
        <w:rPr>
          <w:rtl w:val="0"/>
        </w:rPr>
        <w:tab/>
        <w:tab/>
        <w:tab/>
        <w:tab/>
        <w:tab/>
        <w:tab/>
        <w:tab/>
        <w:t xml:space="preserve">       </w:t>
      </w:r>
      <w:r w:rsidDel="00000000" w:rsidR="00000000" w:rsidRPr="00000000">
        <w:rPr>
          <w:b w:val="1"/>
          <w:bCs w:val="1"/>
          <w:rtl w:val="0"/>
        </w:rPr>
        <w:t xml:space="preserve">  </w:t>
      </w:r>
      <w:r w:rsidDel="00000000" w:rsidR="00000000" w:rsidRPr="00000000">
        <w:rPr>
          <w:b w:val="1"/>
          <w:bCs w:val="1"/>
        </w:rPr>
        <w:drawing>
          <wp:inline distB="114300" distT="114300" distL="114300" distR="114300">
            <wp:extent cx="828675" cy="476659"/>
            <wp:effectExtent b="0" l="0" r="0" t="0"/>
            <wp:docPr id="41" name="image1.png"/>
            <a:graphic>
              <a:graphicData uri="http://schemas.openxmlformats.org/drawingml/2006/picture">
                <pic:pic>
                  <pic:nvPicPr>
                    <pic:cNvPr id="0" name="image1.png"/>
                    <pic:cNvPicPr preferRelativeResize="0"/>
                  </pic:nvPicPr>
                  <pic:blipFill>
                    <a:blip r:embed="rId14"/>
                    <a:srcRect b="16595" l="0" r="0" t="0"/>
                    <a:stretch>
                      <a:fillRect/>
                    </a:stretch>
                  </pic:blipFill>
                  <pic:spPr>
                    <a:xfrm>
                      <a:off x="0" y="0"/>
                      <a:ext cx="828675" cy="476659"/>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Lines w:val="1"/>
        <w:rPr>
          <w:b w:val="1"/>
          <w:bCs w:val="1"/>
        </w:rPr>
      </w:pPr>
      <w:r w:rsidDel="00000000" w:rsidR="00000000" w:rsidRPr="00000000">
        <w:rPr>
          <w:rtl w:val="0"/>
        </w:rPr>
      </w:r>
    </w:p>
    <w:p w:rsidR="00000000" w:rsidDel="00000000" w:rsidP="00000000" w:rsidRDefault="00000000" w:rsidRPr="00000000" w14:paraId="0000006A">
      <w:pPr>
        <w:keepLines w:val="1"/>
        <w:rPr/>
      </w:pPr>
      <w:r w:rsidDel="00000000" w:rsidR="00000000" w:rsidRPr="00000000">
        <w:rPr>
          <w:rtl w:val="0"/>
        </w:rPr>
      </w:r>
    </w:p>
    <w:sectPr>
      <w:head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drawing>
        <wp:inline distB="114300" distT="114300" distL="114300" distR="114300">
          <wp:extent cx="1300163" cy="1293058"/>
          <wp:effectExtent b="0" l="0" r="0" t="0"/>
          <wp:docPr id="3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300163" cy="1293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NormalTable0" w:customStyle="1">
    <w:name w:val="Normal Table0"/>
    <w:tblPr>
      <w:tblCellMar>
        <w:top w:w="0.0" w:type="dxa"/>
        <w:left w:w="0.0" w:type="dxa"/>
        <w:bottom w:w="0.0" w:type="dxa"/>
        <w:right w:w="0.0" w:type="dxa"/>
      </w:tblCellMar>
    </w:tblPr>
  </w:style>
  <w:style w:type="paragraph" w:styleId="Rvision">
    <w:name w:val="Revision"/>
    <w:hidden w:val="1"/>
    <w:uiPriority w:val="99"/>
    <w:semiHidden w:val="1"/>
    <w:rsid w:val="008442F1"/>
    <w:pPr>
      <w:spacing w:line="240" w:lineRule="auto"/>
    </w:pPr>
  </w:style>
  <w:style w:type="paragraph" w:styleId="Paragraphedeliste">
    <w:name w:val="List Paragraph"/>
    <w:basedOn w:val="Normal"/>
    <w:uiPriority w:val="34"/>
    <w:qFormat w:val="1"/>
    <w:rsid w:val="006A1E22"/>
    <w:pPr>
      <w:ind w:left="720"/>
      <w:contextualSpacing w:val="1"/>
    </w:pPr>
  </w:style>
  <w:style w:type="character" w:styleId="Marquedecommentaire">
    <w:name w:val="annotation reference"/>
    <w:basedOn w:val="Policepardfaut"/>
    <w:uiPriority w:val="99"/>
    <w:semiHidden w:val="1"/>
    <w:unhideWhenUsed w:val="1"/>
    <w:rsid w:val="002E3A89"/>
    <w:rPr>
      <w:sz w:val="16"/>
      <w:szCs w:val="16"/>
    </w:rPr>
  </w:style>
  <w:style w:type="paragraph" w:styleId="Commentaire">
    <w:name w:val="annotation text"/>
    <w:basedOn w:val="Normal"/>
    <w:link w:val="CommentaireCar"/>
    <w:uiPriority w:val="99"/>
    <w:unhideWhenUsed w:val="1"/>
    <w:rsid w:val="002E3A89"/>
    <w:pPr>
      <w:spacing w:line="240" w:lineRule="auto"/>
    </w:pPr>
    <w:rPr>
      <w:sz w:val="20"/>
      <w:szCs w:val="20"/>
    </w:rPr>
  </w:style>
  <w:style w:type="character" w:styleId="CommentaireCar" w:customStyle="1">
    <w:name w:val="Commentaire Car"/>
    <w:basedOn w:val="Policepardfaut"/>
    <w:link w:val="Commentaire"/>
    <w:uiPriority w:val="99"/>
    <w:rsid w:val="002E3A89"/>
    <w:rPr>
      <w:sz w:val="20"/>
      <w:szCs w:val="20"/>
    </w:rPr>
  </w:style>
  <w:style w:type="paragraph" w:styleId="Objetducommentaire">
    <w:name w:val="annotation subject"/>
    <w:basedOn w:val="Commentaire"/>
    <w:next w:val="Commentaire"/>
    <w:link w:val="ObjetducommentaireCar"/>
    <w:uiPriority w:val="99"/>
    <w:semiHidden w:val="1"/>
    <w:unhideWhenUsed w:val="1"/>
    <w:rsid w:val="002E3A89"/>
    <w:rPr>
      <w:b w:val="1"/>
      <w:bCs w:val="1"/>
    </w:rPr>
  </w:style>
  <w:style w:type="character" w:styleId="ObjetducommentaireCar" w:customStyle="1">
    <w:name w:val="Objet du commentaire Car"/>
    <w:basedOn w:val="CommentaireCar"/>
    <w:link w:val="Objetducommentaire"/>
    <w:uiPriority w:val="99"/>
    <w:semiHidden w:val="1"/>
    <w:rsid w:val="002E3A89"/>
    <w:rPr>
      <w:b w:val="1"/>
      <w:bCs w:val="1"/>
      <w:sz w:val="20"/>
      <w:szCs w:val="20"/>
    </w:rPr>
  </w:style>
  <w:style w:type="character" w:styleId="cf01" w:customStyle="1">
    <w:name w:val="cf01"/>
    <w:basedOn w:val="Policepardfaut"/>
    <w:rsid w:val="00380428"/>
    <w:rPr>
      <w:rFonts w:ascii="Segoe UI" w:cs="Segoe UI" w:hAnsi="Segoe UI" w:hint="default"/>
      <w:sz w:val="18"/>
      <w:szCs w:val="18"/>
    </w:rPr>
  </w:style>
  <w:style w:type="paragraph" w:styleId="NormalWeb">
    <w:name w:val="Normal (Web)"/>
    <w:basedOn w:val="Normal"/>
    <w:uiPriority w:val="99"/>
    <w:unhideWhenUsed w:val="1"/>
    <w:rsid w:val="00662F02"/>
    <w:pPr>
      <w:spacing w:after="100" w:afterAutospacing="1" w:before="100" w:beforeAutospacing="1" w:line="240" w:lineRule="auto"/>
    </w:pPr>
    <w:rPr>
      <w:rFonts w:ascii="Times New Roman" w:cs="Times New Roman" w:eastAsia="Times New Roman" w:hAnsi="Times New Roman"/>
      <w:sz w:val="24"/>
      <w:szCs w:val="24"/>
      <w:lang w:val="fr-F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annel/UCmnfGeNs97QlXLzJS7i-q0w" TargetMode="External"/><Relationship Id="rId10" Type="http://schemas.openxmlformats.org/officeDocument/2006/relationships/hyperlink" Target="https://www.linkedin.com/showcase/wne-world-nuclear-exhibition/?originalSubdomain=fr" TargetMode="External"/><Relationship Id="rId13" Type="http://schemas.openxmlformats.org/officeDocument/2006/relationships/image" Target="media/image3.png"/><Relationship Id="rId12" Type="http://schemas.openxmlformats.org/officeDocument/2006/relationships/hyperlink" Target="mailto:teamwne@agenceproch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orld-nuclear-exhibition.com" TargetMode="External"/><Relationship Id="rId8" Type="http://schemas.openxmlformats.org/officeDocument/2006/relationships/hyperlink" Target="https://twitter.com/Exhibition_WNE?ref_src=twsrc%5Egoogle%7Ctwcamp%5Eserp%7Ctwgr%5Eaut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nsvjnotkS8SLCLr1efV0ZIX1Q==">CgMxLjA4AHIhMWRwLWVMbTl1MFJkbkhQWHJtb05sVzVOUE5LTVpXYjhY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2025-11-12T16:04:00Z</dcterms:created>
  <dc:creator>Collin, Liliane (RX-PTV)</dc:creator>
</cp:coreProperties>
</file>